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935E" w14:textId="77777777" w:rsidR="00277494" w:rsidRPr="00AD6CCF" w:rsidRDefault="00277494" w:rsidP="00267587">
      <w:pPr>
        <w:pStyle w:val="Heading2"/>
        <w:keepNext/>
        <w:spacing w:before="0"/>
      </w:pPr>
      <w:r w:rsidRPr="00AD6CCF">
        <w:t>Risk Management Implications</w:t>
      </w:r>
    </w:p>
    <w:p w14:paraId="7436801F" w14:textId="77777777" w:rsidR="00277494" w:rsidRPr="00AD6CCF" w:rsidRDefault="00277494" w:rsidP="00267587">
      <w:pPr>
        <w:tabs>
          <w:tab w:val="left" w:pos="5610"/>
        </w:tabs>
        <w:ind w:left="567" w:right="81" w:hanging="567"/>
        <w:rPr>
          <w:rFonts w:cs="Arial"/>
          <w:szCs w:val="24"/>
        </w:rPr>
      </w:pPr>
    </w:p>
    <w:p w14:paraId="69DE1294" w14:textId="65DCAF4D" w:rsidR="00277494" w:rsidRPr="007B7C14" w:rsidRDefault="00277494" w:rsidP="00277494">
      <w:pPr>
        <w:tabs>
          <w:tab w:val="left" w:pos="5610"/>
        </w:tabs>
        <w:ind w:right="81"/>
        <w:rPr>
          <w:strike/>
          <w:color w:val="0000FF"/>
        </w:rPr>
      </w:pPr>
      <w:r w:rsidRPr="007B7C14">
        <w:rPr>
          <w:rFonts w:cs="Arial"/>
          <w:szCs w:val="24"/>
        </w:rPr>
        <w:t xml:space="preserve">Risks included on corporate or directorate risk register? </w:t>
      </w:r>
      <w:r w:rsidRPr="007B7C14">
        <w:rPr>
          <w:rFonts w:cs="Arial"/>
          <w:b/>
          <w:bCs/>
          <w:szCs w:val="24"/>
        </w:rPr>
        <w:t>No</w:t>
      </w:r>
      <w:r w:rsidRPr="007B7C14">
        <w:rPr>
          <w:rFonts w:cs="Arial"/>
          <w:szCs w:val="24"/>
        </w:rPr>
        <w:t xml:space="preserve"> </w:t>
      </w:r>
    </w:p>
    <w:p w14:paraId="077BB892" w14:textId="77777777" w:rsidR="00277494" w:rsidRPr="00AD6CCF" w:rsidRDefault="00277494" w:rsidP="00277494">
      <w:pPr>
        <w:ind w:left="-142" w:right="141"/>
        <w:rPr>
          <w:rFonts w:cs="Arial"/>
          <w:szCs w:val="24"/>
          <w:highlight w:val="yellow"/>
          <w:lang w:eastAsia="en-GB"/>
        </w:rPr>
      </w:pPr>
      <w:r w:rsidRPr="00AD6CCF">
        <w:rPr>
          <w:rFonts w:cs="Arial"/>
          <w:szCs w:val="24"/>
          <w:highlight w:val="yellow"/>
          <w:lang w:eastAsia="en-GB"/>
        </w:rPr>
        <w:t xml:space="preserve">  </w:t>
      </w:r>
      <w:bookmarkStart w:id="0" w:name="_GoBack"/>
      <w:bookmarkEnd w:id="0"/>
    </w:p>
    <w:p w14:paraId="306475BB" w14:textId="38AE9298" w:rsidR="00277494" w:rsidRPr="0006647B" w:rsidRDefault="00277494" w:rsidP="00277494">
      <w:pPr>
        <w:ind w:left="-142" w:right="141" w:firstLine="142"/>
        <w:rPr>
          <w:rFonts w:cs="Arial"/>
          <w:strike/>
          <w:color w:val="4472C4" w:themeColor="accent1"/>
          <w:szCs w:val="24"/>
          <w:lang w:eastAsia="en-GB"/>
        </w:rPr>
      </w:pPr>
      <w:r w:rsidRPr="0006647B">
        <w:rPr>
          <w:rFonts w:cs="Arial"/>
          <w:szCs w:val="24"/>
          <w:lang w:eastAsia="en-GB"/>
        </w:rPr>
        <w:t>Separate risk register in place?</w:t>
      </w:r>
      <w:r w:rsidR="0006647B">
        <w:rPr>
          <w:rFonts w:cs="Arial"/>
          <w:szCs w:val="24"/>
          <w:lang w:eastAsia="en-GB"/>
        </w:rPr>
        <w:t xml:space="preserve"> </w:t>
      </w:r>
      <w:r w:rsidRPr="0006647B">
        <w:rPr>
          <w:rFonts w:cs="Arial"/>
          <w:b/>
          <w:bCs/>
          <w:szCs w:val="24"/>
          <w:lang w:eastAsia="en-GB"/>
        </w:rPr>
        <w:t>No</w:t>
      </w:r>
      <w:r w:rsidRPr="0006647B">
        <w:rPr>
          <w:rFonts w:cs="Arial"/>
          <w:szCs w:val="24"/>
          <w:lang w:eastAsia="en-GB"/>
        </w:rPr>
        <w:t xml:space="preserve"> </w:t>
      </w:r>
    </w:p>
    <w:p w14:paraId="190565B8" w14:textId="77777777" w:rsidR="00277494" w:rsidRPr="0006647B" w:rsidRDefault="00277494" w:rsidP="00277494">
      <w:pPr>
        <w:tabs>
          <w:tab w:val="left" w:pos="5610"/>
        </w:tabs>
        <w:ind w:left="567" w:right="81" w:hanging="567"/>
      </w:pPr>
    </w:p>
    <w:p w14:paraId="7F1C1510" w14:textId="20272B50" w:rsidR="00277494" w:rsidRPr="00A02C3D" w:rsidRDefault="00277494" w:rsidP="00277494">
      <w:pPr>
        <w:tabs>
          <w:tab w:val="left" w:pos="5610"/>
        </w:tabs>
        <w:ind w:right="81"/>
        <w:rPr>
          <w:strike/>
        </w:rPr>
      </w:pPr>
      <w:r w:rsidRPr="0006647B">
        <w:t xml:space="preserve">The relevant risks contained in the register are attached/summarised below. </w:t>
      </w:r>
      <w:r w:rsidRPr="0006647B">
        <w:rPr>
          <w:rFonts w:cs="Arial"/>
          <w:b/>
          <w:bCs/>
          <w:strike/>
          <w:szCs w:val="24"/>
          <w:lang w:eastAsia="en-GB"/>
        </w:rPr>
        <w:t>No</w:t>
      </w:r>
      <w:r w:rsidRPr="0006647B">
        <w:rPr>
          <w:rFonts w:cs="Arial"/>
          <w:b/>
          <w:bCs/>
          <w:szCs w:val="24"/>
          <w:lang w:eastAsia="en-GB"/>
        </w:rPr>
        <w:t xml:space="preserve"> </w:t>
      </w:r>
    </w:p>
    <w:p w14:paraId="7361031E" w14:textId="77777777" w:rsidR="00277494" w:rsidRPr="00AD6CCF" w:rsidRDefault="00277494" w:rsidP="00277494"/>
    <w:p w14:paraId="6BC17CEC" w14:textId="77777777" w:rsidR="00277494" w:rsidRPr="00AD6CCF" w:rsidRDefault="00277494" w:rsidP="00277494">
      <w:r w:rsidRPr="00AD6CCF">
        <w:t xml:space="preserve">The following key risks should be </w:t>
      </w:r>
      <w:proofErr w:type="gramStart"/>
      <w:r w:rsidRPr="00AD6CCF">
        <w:t>taken into account</w:t>
      </w:r>
      <w:proofErr w:type="gramEnd"/>
      <w:r w:rsidRPr="00AD6CCF">
        <w:t xml:space="preserve"> when agreeing the recommendations in this report:</w:t>
      </w:r>
    </w:p>
    <w:p w14:paraId="78E260A4" w14:textId="77777777" w:rsidR="00277494" w:rsidRPr="00AD6CCF" w:rsidRDefault="00277494" w:rsidP="00277494">
      <w:pPr>
        <w:ind w:left="567" w:right="141" w:hanging="567"/>
        <w:rPr>
          <w:rFonts w:cs="Arial"/>
          <w:szCs w:val="24"/>
          <w:lang w:eastAsia="en-GB"/>
        </w:rPr>
      </w:pPr>
    </w:p>
    <w:tbl>
      <w:tblPr>
        <w:tblW w:w="8635" w:type="dxa"/>
        <w:tblCellMar>
          <w:left w:w="10" w:type="dxa"/>
          <w:right w:w="10" w:type="dxa"/>
        </w:tblCellMar>
        <w:tblLook w:val="04A0" w:firstRow="1" w:lastRow="0" w:firstColumn="1" w:lastColumn="0" w:noHBand="0" w:noVBand="1"/>
      </w:tblPr>
      <w:tblGrid>
        <w:gridCol w:w="3267"/>
        <w:gridCol w:w="3816"/>
        <w:gridCol w:w="1552"/>
      </w:tblGrid>
      <w:tr w:rsidR="00277494" w:rsidRPr="00AD6CCF" w14:paraId="5B76C3F9" w14:textId="77777777" w:rsidTr="00267587">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A27DF9" w14:textId="77777777" w:rsidR="00277494" w:rsidRPr="00AD6CCF" w:rsidRDefault="00277494" w:rsidP="00A02C3D">
            <w:pPr>
              <w:spacing w:line="244" w:lineRule="auto"/>
              <w:ind w:right="141"/>
              <w:rPr>
                <w:rFonts w:cs="Arial"/>
                <w:b/>
                <w:bCs/>
                <w:szCs w:val="24"/>
                <w:lang w:eastAsia="en-GB"/>
              </w:rPr>
            </w:pPr>
            <w:r w:rsidRPr="00AD6CCF">
              <w:rPr>
                <w:rFonts w:cs="Arial"/>
                <w:b/>
                <w:bCs/>
                <w:szCs w:val="24"/>
                <w:lang w:eastAsia="en-GB"/>
              </w:rPr>
              <w:t>Risk Description</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77FD1" w14:textId="77777777" w:rsidR="00277494" w:rsidRPr="00AD6CCF" w:rsidRDefault="00277494" w:rsidP="00A02C3D">
            <w:pPr>
              <w:spacing w:line="244" w:lineRule="auto"/>
              <w:ind w:right="141"/>
              <w:rPr>
                <w:rFonts w:cs="Arial"/>
                <w:b/>
                <w:bCs/>
                <w:szCs w:val="24"/>
                <w:lang w:eastAsia="en-GB"/>
              </w:rPr>
            </w:pPr>
            <w:r w:rsidRPr="00AD6CCF">
              <w:rPr>
                <w:rFonts w:cs="Arial"/>
                <w:b/>
                <w:bCs/>
                <w:szCs w:val="24"/>
                <w:lang w:eastAsia="en-GB"/>
              </w:rPr>
              <w:t>Mitigations</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7B7F3DE7" w14:textId="77777777" w:rsidR="00277494" w:rsidRPr="00AD6CCF" w:rsidRDefault="00277494" w:rsidP="00A02C3D">
            <w:pPr>
              <w:spacing w:line="244" w:lineRule="auto"/>
              <w:ind w:left="171" w:right="141"/>
              <w:rPr>
                <w:rFonts w:cs="Arial"/>
                <w:b/>
                <w:bCs/>
                <w:szCs w:val="24"/>
                <w:lang w:eastAsia="en-GB"/>
              </w:rPr>
            </w:pPr>
            <w:r w:rsidRPr="00AD6CCF">
              <w:rPr>
                <w:rFonts w:cs="Arial"/>
                <w:b/>
                <w:bCs/>
                <w:szCs w:val="24"/>
                <w:lang w:eastAsia="en-GB"/>
              </w:rPr>
              <w:t>RAG Status</w:t>
            </w:r>
          </w:p>
        </w:tc>
      </w:tr>
      <w:tr w:rsidR="00277494" w:rsidRPr="00AD6CCF" w14:paraId="72592055"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90770" w14:textId="2A55C0CB" w:rsidR="00277494" w:rsidRPr="00267587" w:rsidRDefault="00277494" w:rsidP="00A02C3D">
            <w:pPr>
              <w:spacing w:line="244" w:lineRule="auto"/>
              <w:ind w:right="141"/>
              <w:rPr>
                <w:rFonts w:cs="Arial"/>
                <w:szCs w:val="24"/>
                <w:lang w:eastAsia="en-GB"/>
              </w:rPr>
            </w:pPr>
            <w:r w:rsidRPr="00267587">
              <w:rPr>
                <w:rFonts w:cs="Arial"/>
                <w:szCs w:val="24"/>
                <w:lang w:eastAsia="en-GB"/>
              </w:rPr>
              <w:t>By not adopting the strategy, the Council will expose itself to the risk of being unable to let or use two floors of Forward Drive This would also require costly and inefficient extra space to be built at the HNC</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F47AD" w14:textId="77777777" w:rsidR="00277494" w:rsidRPr="00267587" w:rsidRDefault="00277494" w:rsidP="00277494">
            <w:pPr>
              <w:pStyle w:val="ListParagraph"/>
              <w:numPr>
                <w:ilvl w:val="0"/>
                <w:numId w:val="1"/>
              </w:numPr>
              <w:suppressAutoHyphens/>
              <w:autoSpaceDN w:val="0"/>
              <w:spacing w:line="244" w:lineRule="auto"/>
              <w:ind w:left="171" w:right="141" w:hanging="171"/>
              <w:rPr>
                <w:sz w:val="24"/>
                <w:szCs w:val="24"/>
              </w:rPr>
            </w:pPr>
            <w:r w:rsidRPr="00267587">
              <w:rPr>
                <w:sz w:val="24"/>
                <w:szCs w:val="24"/>
              </w:rPr>
              <w:t>The mitigation is to agree this proposed strategy</w:t>
            </w:r>
          </w:p>
          <w:p w14:paraId="615D9894" w14:textId="77777777" w:rsidR="00277494" w:rsidRPr="00267587" w:rsidRDefault="00277494" w:rsidP="00A02C3D">
            <w:pPr>
              <w:pStyle w:val="ListParagraph"/>
              <w:suppressAutoHyphens/>
              <w:autoSpaceDN w:val="0"/>
              <w:spacing w:line="244" w:lineRule="auto"/>
              <w:ind w:left="171" w:right="141"/>
              <w:rPr>
                <w:sz w:val="24"/>
                <w:szCs w:val="24"/>
              </w:rPr>
            </w:pPr>
          </w:p>
          <w:p w14:paraId="5EB352B6" w14:textId="77777777" w:rsidR="00277494" w:rsidRPr="00267587" w:rsidRDefault="00277494" w:rsidP="00A02C3D">
            <w:pPr>
              <w:pStyle w:val="ListParagraph"/>
              <w:suppressAutoHyphens/>
              <w:autoSpaceDN w:val="0"/>
              <w:spacing w:line="244" w:lineRule="auto"/>
              <w:ind w:left="171" w:right="141"/>
              <w:rPr>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33237556"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t>Green</w:t>
            </w:r>
          </w:p>
        </w:tc>
      </w:tr>
      <w:tr w:rsidR="00277494" w:rsidRPr="00AD6CCF" w14:paraId="77DDEA0B"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A50A4" w14:textId="77777777" w:rsidR="00277494" w:rsidRPr="00267587" w:rsidRDefault="00277494" w:rsidP="00A02C3D">
            <w:pPr>
              <w:spacing w:line="244" w:lineRule="auto"/>
              <w:ind w:right="141"/>
              <w:rPr>
                <w:rFonts w:cs="Arial"/>
                <w:szCs w:val="24"/>
                <w:lang w:eastAsia="en-GB"/>
              </w:rPr>
            </w:pPr>
            <w:r w:rsidRPr="00267587">
              <w:rPr>
                <w:rFonts w:cs="Arial"/>
                <w:szCs w:val="24"/>
                <w:lang w:eastAsia="en-GB"/>
              </w:rPr>
              <w:t>The plans for the HNC and the affordable housing are at concept design stage and as design proceeds there is risk of cost escalation</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495D8" w14:textId="77777777" w:rsidR="00277494" w:rsidRPr="00267587" w:rsidRDefault="00277494" w:rsidP="00277494">
            <w:pPr>
              <w:pStyle w:val="ListParagraph"/>
              <w:numPr>
                <w:ilvl w:val="0"/>
                <w:numId w:val="1"/>
              </w:numPr>
              <w:suppressAutoHyphens/>
              <w:autoSpaceDN w:val="0"/>
              <w:spacing w:line="244" w:lineRule="auto"/>
              <w:ind w:left="171" w:right="141" w:hanging="171"/>
              <w:rPr>
                <w:sz w:val="24"/>
                <w:szCs w:val="24"/>
              </w:rPr>
            </w:pPr>
            <w:r w:rsidRPr="00267587">
              <w:rPr>
                <w:sz w:val="24"/>
                <w:szCs w:val="24"/>
              </w:rPr>
              <w:t>Clear cost and design management by design team</w:t>
            </w:r>
          </w:p>
          <w:p w14:paraId="54655962" w14:textId="77777777" w:rsidR="00277494" w:rsidRPr="00267587" w:rsidRDefault="00277494" w:rsidP="00277494">
            <w:pPr>
              <w:pStyle w:val="ListParagraph"/>
              <w:numPr>
                <w:ilvl w:val="0"/>
                <w:numId w:val="1"/>
              </w:numPr>
              <w:suppressAutoHyphens/>
              <w:autoSpaceDN w:val="0"/>
              <w:spacing w:line="244" w:lineRule="auto"/>
              <w:ind w:left="171" w:right="141" w:hanging="171"/>
              <w:rPr>
                <w:sz w:val="24"/>
                <w:szCs w:val="24"/>
              </w:rPr>
            </w:pPr>
            <w:r w:rsidRPr="00267587">
              <w:rPr>
                <w:sz w:val="24"/>
                <w:szCs w:val="24"/>
              </w:rPr>
              <w:t>Value engineering as necessary</w:t>
            </w:r>
          </w:p>
          <w:p w14:paraId="4F22DD3E" w14:textId="77777777" w:rsidR="00277494" w:rsidRPr="00267587" w:rsidRDefault="00277494" w:rsidP="00277494">
            <w:pPr>
              <w:pStyle w:val="ListParagraph"/>
              <w:numPr>
                <w:ilvl w:val="0"/>
                <w:numId w:val="1"/>
              </w:numPr>
              <w:suppressAutoHyphens/>
              <w:autoSpaceDN w:val="0"/>
              <w:spacing w:line="244" w:lineRule="auto"/>
              <w:ind w:left="171" w:right="141" w:hanging="171"/>
              <w:rPr>
                <w:sz w:val="24"/>
                <w:szCs w:val="24"/>
              </w:rPr>
            </w:pPr>
            <w:r w:rsidRPr="00267587">
              <w:rPr>
                <w:sz w:val="24"/>
                <w:szCs w:val="24"/>
              </w:rPr>
              <w:t>Close management of planning processes</w:t>
            </w:r>
          </w:p>
          <w:p w14:paraId="078E68CC" w14:textId="77777777" w:rsidR="00277494" w:rsidRPr="00267587" w:rsidRDefault="00277494" w:rsidP="00277494">
            <w:pPr>
              <w:pStyle w:val="ListParagraph"/>
              <w:numPr>
                <w:ilvl w:val="0"/>
                <w:numId w:val="1"/>
              </w:numPr>
              <w:suppressAutoHyphens/>
              <w:autoSpaceDN w:val="0"/>
              <w:spacing w:line="244" w:lineRule="auto"/>
              <w:ind w:left="171" w:right="141" w:hanging="171"/>
              <w:rPr>
                <w:sz w:val="24"/>
                <w:szCs w:val="24"/>
              </w:rPr>
            </w:pPr>
            <w:r w:rsidRPr="00267587">
              <w:rPr>
                <w:sz w:val="24"/>
                <w:szCs w:val="24"/>
              </w:rPr>
              <w:t>Close attention to procurement policy and processes</w:t>
            </w:r>
          </w:p>
          <w:p w14:paraId="7D570258" w14:textId="77777777" w:rsidR="00277494" w:rsidRPr="00267587" w:rsidRDefault="00277494" w:rsidP="00277494">
            <w:pPr>
              <w:pStyle w:val="ListParagraph"/>
              <w:numPr>
                <w:ilvl w:val="0"/>
                <w:numId w:val="1"/>
              </w:numPr>
              <w:suppressAutoHyphens/>
              <w:autoSpaceDN w:val="0"/>
              <w:spacing w:line="244" w:lineRule="auto"/>
              <w:ind w:left="171" w:right="141" w:hanging="171"/>
              <w:rPr>
                <w:sz w:val="24"/>
                <w:szCs w:val="24"/>
              </w:rPr>
            </w:pPr>
            <w:r w:rsidRPr="00267587">
              <w:rPr>
                <w:sz w:val="24"/>
                <w:szCs w:val="24"/>
              </w:rPr>
              <w:t>Council refrain from variations and adhere to principles of agile working</w:t>
            </w:r>
          </w:p>
        </w:tc>
        <w:tc>
          <w:tcPr>
            <w:tcW w:w="1552" w:type="dxa"/>
            <w:tcBorders>
              <w:top w:val="single" w:sz="4" w:space="0" w:color="000000"/>
              <w:left w:val="single" w:sz="4" w:space="0" w:color="000000"/>
              <w:bottom w:val="single" w:sz="4" w:space="0" w:color="000000"/>
              <w:right w:val="single" w:sz="4" w:space="0" w:color="000000"/>
            </w:tcBorders>
            <w:shd w:val="clear" w:color="auto" w:fill="FFC000"/>
            <w:hideMark/>
          </w:tcPr>
          <w:p w14:paraId="0E01D891"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t>Amber</w:t>
            </w:r>
          </w:p>
        </w:tc>
      </w:tr>
      <w:tr w:rsidR="00277494" w:rsidRPr="00AD6CCF" w14:paraId="576D95BF"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EE2A6" w14:textId="77777777" w:rsidR="00277494" w:rsidRPr="00267587" w:rsidRDefault="00277494" w:rsidP="00A02C3D">
            <w:pPr>
              <w:spacing w:line="244" w:lineRule="auto"/>
              <w:ind w:right="141"/>
              <w:rPr>
                <w:rFonts w:cs="Arial"/>
                <w:szCs w:val="24"/>
                <w:lang w:eastAsia="en-GB"/>
              </w:rPr>
            </w:pPr>
            <w:r w:rsidRPr="00267587">
              <w:rPr>
                <w:rFonts w:cs="Arial"/>
                <w:szCs w:val="24"/>
                <w:lang w:eastAsia="en-GB"/>
              </w:rPr>
              <w:t>Cost of the 46 affordable housing units is not affordable within the HRA</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9E8D3" w14:textId="293C7B1B" w:rsidR="00277494" w:rsidRPr="00267587" w:rsidRDefault="00277494" w:rsidP="00277494">
            <w:pPr>
              <w:pStyle w:val="ListParagraph"/>
              <w:numPr>
                <w:ilvl w:val="0"/>
                <w:numId w:val="1"/>
              </w:numPr>
              <w:suppressAutoHyphens/>
              <w:autoSpaceDN w:val="0"/>
              <w:spacing w:line="244" w:lineRule="auto"/>
              <w:ind w:left="171" w:right="141" w:hanging="171"/>
              <w:rPr>
                <w:sz w:val="24"/>
                <w:szCs w:val="24"/>
              </w:rPr>
            </w:pPr>
            <w:r w:rsidRPr="00267587">
              <w:rPr>
                <w:sz w:val="24"/>
                <w:szCs w:val="24"/>
              </w:rPr>
              <w:t xml:space="preserve">The Building Council Homes for Londoners (BCHFL) model assumes an average of £325k per </w:t>
            </w:r>
            <w:proofErr w:type="gramStart"/>
            <w:r w:rsidRPr="00267587">
              <w:rPr>
                <w:sz w:val="24"/>
                <w:szCs w:val="24"/>
              </w:rPr>
              <w:t>unit  which</w:t>
            </w:r>
            <w:proofErr w:type="gramEnd"/>
            <w:r w:rsidRPr="00267587">
              <w:rPr>
                <w:sz w:val="24"/>
                <w:szCs w:val="24"/>
              </w:rPr>
              <w:t xml:space="preserve"> is affordable within the HRA</w:t>
            </w:r>
          </w:p>
          <w:p w14:paraId="4BA5BD6B" w14:textId="77777777" w:rsidR="00277494" w:rsidRPr="00267587" w:rsidRDefault="00277494" w:rsidP="00277494">
            <w:pPr>
              <w:pStyle w:val="ListParagraph"/>
              <w:numPr>
                <w:ilvl w:val="0"/>
                <w:numId w:val="1"/>
              </w:numPr>
              <w:suppressAutoHyphens/>
              <w:autoSpaceDN w:val="0"/>
              <w:spacing w:line="244" w:lineRule="auto"/>
              <w:ind w:left="171" w:right="141" w:hanging="171"/>
              <w:rPr>
                <w:sz w:val="24"/>
                <w:szCs w:val="24"/>
              </w:rPr>
            </w:pPr>
            <w:r w:rsidRPr="00267587">
              <w:rPr>
                <w:sz w:val="24"/>
                <w:szCs w:val="24"/>
              </w:rPr>
              <w:t>A robust financial assessment will be undertaken to ensure the final agreed scheme is affordable within the HRA</w:t>
            </w:r>
          </w:p>
          <w:p w14:paraId="306098C0" w14:textId="77777777" w:rsidR="00277494" w:rsidRPr="00267587" w:rsidRDefault="00277494" w:rsidP="00277494">
            <w:pPr>
              <w:pStyle w:val="ListParagraph"/>
              <w:numPr>
                <w:ilvl w:val="0"/>
                <w:numId w:val="1"/>
              </w:numPr>
              <w:suppressAutoHyphens/>
              <w:autoSpaceDN w:val="0"/>
              <w:spacing w:line="244" w:lineRule="auto"/>
              <w:ind w:left="171" w:right="141" w:hanging="171"/>
              <w:rPr>
                <w:sz w:val="24"/>
                <w:szCs w:val="24"/>
              </w:rPr>
            </w:pPr>
            <w:r w:rsidRPr="00267587">
              <w:rPr>
                <w:sz w:val="24"/>
                <w:szCs w:val="24"/>
              </w:rPr>
              <w:t xml:space="preserve">The current estimated cost from the HSDP is £345k per affordable unit which will be worked through as part of the financial assessment to ensure the final agreed </w:t>
            </w:r>
            <w:r w:rsidRPr="00267587">
              <w:rPr>
                <w:sz w:val="24"/>
                <w:szCs w:val="24"/>
              </w:rPr>
              <w:lastRenderedPageBreak/>
              <w:t>scheme is affordable within the HRA.</w:t>
            </w:r>
          </w:p>
        </w:tc>
        <w:tc>
          <w:tcPr>
            <w:tcW w:w="1552" w:type="dxa"/>
            <w:tcBorders>
              <w:top w:val="single" w:sz="4" w:space="0" w:color="000000"/>
              <w:left w:val="single" w:sz="4" w:space="0" w:color="000000"/>
              <w:bottom w:val="single" w:sz="4" w:space="0" w:color="000000"/>
              <w:right w:val="single" w:sz="4" w:space="0" w:color="000000"/>
            </w:tcBorders>
            <w:shd w:val="clear" w:color="auto" w:fill="FFC000"/>
          </w:tcPr>
          <w:p w14:paraId="04D0C04A"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lastRenderedPageBreak/>
              <w:t>Amber</w:t>
            </w:r>
          </w:p>
        </w:tc>
      </w:tr>
      <w:tr w:rsidR="00277494" w:rsidRPr="00AD6CCF" w14:paraId="22A05608"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6A970" w14:textId="77777777" w:rsidR="00277494" w:rsidRPr="00267587" w:rsidRDefault="00277494" w:rsidP="00A02C3D">
            <w:pPr>
              <w:spacing w:line="244" w:lineRule="auto"/>
              <w:ind w:right="141"/>
              <w:rPr>
                <w:rFonts w:cs="Arial"/>
                <w:szCs w:val="24"/>
                <w:lang w:eastAsia="en-GB"/>
              </w:rPr>
            </w:pPr>
            <w:r w:rsidRPr="00267587">
              <w:rPr>
                <w:rFonts w:cs="Arial"/>
                <w:szCs w:val="24"/>
                <w:lang w:eastAsia="en-GB"/>
              </w:rPr>
              <w:t>Risk of insufficient car parking having a detrimental effect on agile working</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FA7D" w14:textId="77777777" w:rsidR="00277494" w:rsidRPr="00267587" w:rsidRDefault="00277494" w:rsidP="00277494">
            <w:pPr>
              <w:pStyle w:val="ListParagraph"/>
              <w:numPr>
                <w:ilvl w:val="0"/>
                <w:numId w:val="1"/>
              </w:numPr>
              <w:suppressAutoHyphens/>
              <w:autoSpaceDN w:val="0"/>
              <w:spacing w:line="244" w:lineRule="auto"/>
              <w:ind w:left="171" w:right="141" w:hanging="171"/>
              <w:rPr>
                <w:sz w:val="24"/>
                <w:szCs w:val="24"/>
              </w:rPr>
            </w:pPr>
            <w:r w:rsidRPr="00267587">
              <w:rPr>
                <w:sz w:val="24"/>
                <w:szCs w:val="24"/>
              </w:rPr>
              <w:t>Maximise feasible car parking spaces</w:t>
            </w:r>
          </w:p>
          <w:p w14:paraId="6E8C6E37" w14:textId="77777777" w:rsidR="00277494" w:rsidRPr="00267587" w:rsidRDefault="00277494" w:rsidP="00277494">
            <w:pPr>
              <w:pStyle w:val="ListParagraph"/>
              <w:numPr>
                <w:ilvl w:val="0"/>
                <w:numId w:val="1"/>
              </w:numPr>
              <w:suppressAutoHyphens/>
              <w:autoSpaceDN w:val="0"/>
              <w:spacing w:line="244" w:lineRule="auto"/>
              <w:ind w:left="171" w:right="141" w:hanging="171"/>
              <w:rPr>
                <w:sz w:val="24"/>
                <w:szCs w:val="24"/>
              </w:rPr>
            </w:pPr>
            <w:r w:rsidRPr="00267587">
              <w:rPr>
                <w:sz w:val="24"/>
                <w:szCs w:val="24"/>
              </w:rPr>
              <w:t>Monitor car parking usage</w:t>
            </w:r>
          </w:p>
        </w:tc>
        <w:tc>
          <w:tcPr>
            <w:tcW w:w="1552" w:type="dxa"/>
            <w:tcBorders>
              <w:top w:val="single" w:sz="4" w:space="0" w:color="000000"/>
              <w:left w:val="single" w:sz="4" w:space="0" w:color="000000"/>
              <w:bottom w:val="single" w:sz="4" w:space="0" w:color="000000"/>
              <w:right w:val="single" w:sz="4" w:space="0" w:color="000000"/>
            </w:tcBorders>
            <w:shd w:val="clear" w:color="auto" w:fill="FFC000"/>
            <w:hideMark/>
          </w:tcPr>
          <w:p w14:paraId="1C6D27E6" w14:textId="1D86B240" w:rsidR="00277494" w:rsidRPr="00267587" w:rsidRDefault="00277494" w:rsidP="00267587">
            <w:pPr>
              <w:spacing w:line="244" w:lineRule="auto"/>
              <w:ind w:right="141"/>
              <w:rPr>
                <w:rFonts w:cs="Arial"/>
                <w:szCs w:val="24"/>
                <w:lang w:eastAsia="en-GB"/>
              </w:rPr>
            </w:pPr>
            <w:r w:rsidRPr="00267587">
              <w:rPr>
                <w:rFonts w:cs="Arial"/>
                <w:szCs w:val="24"/>
                <w:lang w:eastAsia="en-GB"/>
              </w:rPr>
              <w:t>Amber</w:t>
            </w:r>
          </w:p>
        </w:tc>
      </w:tr>
      <w:tr w:rsidR="00277494" w14:paraId="1AAFE44E"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14293" w14:textId="77777777" w:rsidR="00277494" w:rsidRPr="00267587" w:rsidRDefault="00277494" w:rsidP="00A02C3D">
            <w:pPr>
              <w:spacing w:line="244" w:lineRule="auto"/>
              <w:ind w:right="141"/>
              <w:rPr>
                <w:rFonts w:cs="Arial"/>
                <w:szCs w:val="24"/>
                <w:lang w:eastAsia="en-GB"/>
              </w:rPr>
            </w:pPr>
            <w:r w:rsidRPr="00267587">
              <w:rPr>
                <w:rFonts w:cs="Arial"/>
                <w:szCs w:val="24"/>
                <w:lang w:eastAsia="en-GB"/>
              </w:rPr>
              <w:t>Kier linking the costs of the Cat B fit out works with their current Loss &amp; Expense claims</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40128"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 xml:space="preserve">Adherence to contractual procedures </w:t>
            </w:r>
          </w:p>
          <w:p w14:paraId="0F1D29D6"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proofErr w:type="gramStart"/>
            <w:r w:rsidRPr="00267587">
              <w:rPr>
                <w:sz w:val="24"/>
                <w:szCs w:val="24"/>
              </w:rPr>
              <w:t>Close scrutiny</w:t>
            </w:r>
            <w:proofErr w:type="gramEnd"/>
            <w:r w:rsidRPr="00267587">
              <w:rPr>
                <w:sz w:val="24"/>
                <w:szCs w:val="24"/>
              </w:rPr>
              <w:t xml:space="preserve"> of claims and costs</w:t>
            </w:r>
          </w:p>
        </w:tc>
        <w:tc>
          <w:tcPr>
            <w:tcW w:w="1552" w:type="dxa"/>
            <w:tcBorders>
              <w:top w:val="single" w:sz="4" w:space="0" w:color="000000"/>
              <w:left w:val="single" w:sz="4" w:space="0" w:color="000000"/>
              <w:bottom w:val="single" w:sz="4" w:space="0" w:color="000000"/>
              <w:right w:val="single" w:sz="4" w:space="0" w:color="000000"/>
            </w:tcBorders>
            <w:shd w:val="clear" w:color="auto" w:fill="FFC000"/>
            <w:hideMark/>
          </w:tcPr>
          <w:p w14:paraId="6CDAA319"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t>Amber</w:t>
            </w:r>
          </w:p>
        </w:tc>
      </w:tr>
      <w:tr w:rsidR="00277494" w14:paraId="60839047"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63F4D" w14:textId="77777777" w:rsidR="00277494" w:rsidRPr="00267587" w:rsidRDefault="00277494" w:rsidP="00A02C3D">
            <w:pPr>
              <w:spacing w:line="244" w:lineRule="auto"/>
              <w:ind w:right="141"/>
              <w:rPr>
                <w:rFonts w:cs="Arial"/>
                <w:szCs w:val="24"/>
                <w:lang w:eastAsia="en-GB"/>
              </w:rPr>
            </w:pPr>
            <w:r w:rsidRPr="00267587">
              <w:rPr>
                <w:rFonts w:cs="Arial"/>
                <w:szCs w:val="24"/>
                <w:lang w:eastAsia="en-GB"/>
              </w:rPr>
              <w:t>Risk of further claims from Kiers if additional work awarded</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76B4C"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Strong design management and change control procedures to prevent variations impacting on programme</w:t>
            </w:r>
          </w:p>
          <w:p w14:paraId="14EC4C41" w14:textId="77777777" w:rsidR="00277494" w:rsidRPr="00267587" w:rsidRDefault="00277494" w:rsidP="00422EF2">
            <w:pPr>
              <w:pStyle w:val="ListParagraph"/>
              <w:suppressAutoHyphens/>
              <w:autoSpaceDN w:val="0"/>
              <w:spacing w:line="247" w:lineRule="auto"/>
              <w:ind w:left="171" w:right="141"/>
              <w:rPr>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FFC000"/>
            <w:hideMark/>
          </w:tcPr>
          <w:p w14:paraId="48362704"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t>Amber</w:t>
            </w:r>
          </w:p>
        </w:tc>
      </w:tr>
      <w:tr w:rsidR="00277494" w14:paraId="7FDB64EC"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2ED1A" w14:textId="77777777" w:rsidR="00277494" w:rsidRPr="00267587" w:rsidRDefault="00277494" w:rsidP="00A02C3D">
            <w:pPr>
              <w:spacing w:line="244" w:lineRule="auto"/>
              <w:ind w:right="141"/>
              <w:rPr>
                <w:rFonts w:cs="Arial"/>
                <w:szCs w:val="24"/>
                <w:lang w:eastAsia="en-GB"/>
              </w:rPr>
            </w:pPr>
            <w:r w:rsidRPr="00267587">
              <w:rPr>
                <w:rFonts w:cs="Arial"/>
                <w:szCs w:val="24"/>
                <w:lang w:eastAsia="en-GB"/>
              </w:rPr>
              <w:t>Potential cost increases of fit out works at Forward Drive</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EDB35"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Clear change control measures to prevent variations to design</w:t>
            </w:r>
          </w:p>
        </w:tc>
        <w:tc>
          <w:tcPr>
            <w:tcW w:w="1552" w:type="dxa"/>
            <w:tcBorders>
              <w:top w:val="single" w:sz="4" w:space="0" w:color="000000"/>
              <w:left w:val="single" w:sz="4" w:space="0" w:color="000000"/>
              <w:bottom w:val="single" w:sz="4" w:space="0" w:color="000000"/>
              <w:right w:val="single" w:sz="4" w:space="0" w:color="000000"/>
            </w:tcBorders>
            <w:shd w:val="clear" w:color="auto" w:fill="FFC000"/>
            <w:hideMark/>
          </w:tcPr>
          <w:p w14:paraId="1F7C5526"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t>Amber</w:t>
            </w:r>
          </w:p>
        </w:tc>
      </w:tr>
      <w:tr w:rsidR="00277494" w14:paraId="6DDE2749"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BB4F0" w14:textId="77777777" w:rsidR="00277494" w:rsidRPr="00267587" w:rsidRDefault="00277494" w:rsidP="00A02C3D">
            <w:pPr>
              <w:spacing w:line="244" w:lineRule="auto"/>
              <w:ind w:right="141"/>
              <w:rPr>
                <w:rFonts w:cs="Arial"/>
                <w:szCs w:val="24"/>
                <w:lang w:eastAsia="en-GB"/>
              </w:rPr>
            </w:pPr>
            <w:r w:rsidRPr="00267587">
              <w:rPr>
                <w:szCs w:val="24"/>
                <w:lang w:eastAsia="en-GB"/>
              </w:rPr>
              <w:t>Estimate c</w:t>
            </w:r>
            <w:r w:rsidRPr="00267587">
              <w:rPr>
                <w:rFonts w:cs="Arial"/>
                <w:szCs w:val="24"/>
                <w:lang w:eastAsia="en-GB"/>
              </w:rPr>
              <w:t xml:space="preserve">ost of £500,000 </w:t>
            </w:r>
            <w:r w:rsidRPr="00267587">
              <w:rPr>
                <w:szCs w:val="24"/>
                <w:lang w:eastAsia="en-GB"/>
              </w:rPr>
              <w:t>to re-house the ‘ancillary services’ is exceeded</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910C3"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Costs are likely to be capital and we will consider what capital schemes can be stopped to cover the additional costs before a proposal is brought forward.</w:t>
            </w:r>
          </w:p>
        </w:tc>
        <w:tc>
          <w:tcPr>
            <w:tcW w:w="1552" w:type="dxa"/>
            <w:tcBorders>
              <w:top w:val="single" w:sz="4" w:space="0" w:color="000000"/>
              <w:left w:val="single" w:sz="4" w:space="0" w:color="000000"/>
              <w:bottom w:val="single" w:sz="4" w:space="0" w:color="000000"/>
              <w:right w:val="single" w:sz="4" w:space="0" w:color="000000"/>
            </w:tcBorders>
            <w:shd w:val="clear" w:color="auto" w:fill="FFC000"/>
          </w:tcPr>
          <w:p w14:paraId="36A4DDCF"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t>Amber</w:t>
            </w:r>
          </w:p>
        </w:tc>
      </w:tr>
      <w:tr w:rsidR="00277494" w14:paraId="68C97B0A"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61A98" w14:textId="77777777" w:rsidR="00277494" w:rsidRPr="00267587" w:rsidRDefault="00277494" w:rsidP="00A02C3D">
            <w:pPr>
              <w:spacing w:line="244" w:lineRule="auto"/>
              <w:ind w:right="141"/>
              <w:rPr>
                <w:szCs w:val="24"/>
                <w:lang w:eastAsia="en-GB"/>
              </w:rPr>
            </w:pPr>
            <w:r w:rsidRPr="00267587">
              <w:rPr>
                <w:szCs w:val="24"/>
                <w:lang w:eastAsia="en-GB"/>
              </w:rPr>
              <w:t>Unable to find suitable locations/sufficient face to face space for ‘ancillary services’</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73BD1"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Detailed further review is near completion, use of Libraries, Headstone Manor, Children’s Centres and Adult NRCs being investigated/piloted as detailed in the report</w:t>
            </w:r>
          </w:p>
        </w:tc>
        <w:tc>
          <w:tcPr>
            <w:tcW w:w="1552" w:type="dxa"/>
            <w:tcBorders>
              <w:top w:val="single" w:sz="4" w:space="0" w:color="000000"/>
              <w:left w:val="single" w:sz="4" w:space="0" w:color="000000"/>
              <w:bottom w:val="single" w:sz="4" w:space="0" w:color="000000"/>
              <w:right w:val="single" w:sz="4" w:space="0" w:color="000000"/>
            </w:tcBorders>
            <w:shd w:val="clear" w:color="auto" w:fill="FFC000"/>
          </w:tcPr>
          <w:p w14:paraId="620EB1D7"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t>Amber</w:t>
            </w:r>
          </w:p>
        </w:tc>
      </w:tr>
      <w:tr w:rsidR="00277494" w14:paraId="6EC9ABA4"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22B17" w14:textId="77777777" w:rsidR="00277494" w:rsidRPr="00267587" w:rsidRDefault="00277494" w:rsidP="00A02C3D">
            <w:pPr>
              <w:spacing w:line="244" w:lineRule="auto"/>
              <w:ind w:right="141"/>
              <w:rPr>
                <w:szCs w:val="24"/>
                <w:lang w:eastAsia="en-GB"/>
              </w:rPr>
            </w:pPr>
            <w:r w:rsidRPr="00267587">
              <w:rPr>
                <w:szCs w:val="24"/>
              </w:rPr>
              <w:t>Limited Liability Partnership with Wates not completed</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BDFE1"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Contract currently being drafted</w:t>
            </w: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2288A25E"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t>Green</w:t>
            </w:r>
          </w:p>
        </w:tc>
      </w:tr>
      <w:tr w:rsidR="00277494" w14:paraId="1EFC3753"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A94F5" w14:textId="77777777" w:rsidR="00277494" w:rsidRPr="00267587" w:rsidRDefault="00277494" w:rsidP="00A02C3D">
            <w:pPr>
              <w:spacing w:line="244" w:lineRule="auto"/>
              <w:ind w:right="141"/>
              <w:rPr>
                <w:szCs w:val="24"/>
              </w:rPr>
            </w:pPr>
            <w:r w:rsidRPr="00267587">
              <w:rPr>
                <w:szCs w:val="24"/>
              </w:rPr>
              <w:t xml:space="preserve">Fit out costs of HNC unaffordable </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167DF"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Current capital provision for the three sites</w:t>
            </w:r>
          </w:p>
          <w:p w14:paraId="45BAD34B"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 xml:space="preserve">Realistic and approved cost plan for fit out prior to any decisions </w:t>
            </w:r>
          </w:p>
        </w:tc>
        <w:tc>
          <w:tcPr>
            <w:tcW w:w="1552" w:type="dxa"/>
            <w:tcBorders>
              <w:top w:val="single" w:sz="4" w:space="0" w:color="000000"/>
              <w:left w:val="single" w:sz="4" w:space="0" w:color="000000"/>
              <w:bottom w:val="single" w:sz="4" w:space="0" w:color="000000"/>
              <w:right w:val="single" w:sz="4" w:space="0" w:color="000000"/>
            </w:tcBorders>
            <w:shd w:val="clear" w:color="auto" w:fill="FFC000"/>
          </w:tcPr>
          <w:p w14:paraId="2B48B2B3"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t>Amber</w:t>
            </w:r>
          </w:p>
        </w:tc>
      </w:tr>
      <w:tr w:rsidR="00277494" w14:paraId="5941E2E6"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32AC4" w14:textId="77777777" w:rsidR="00277494" w:rsidRPr="00267587" w:rsidRDefault="00277494" w:rsidP="00A02C3D">
            <w:pPr>
              <w:spacing w:line="244" w:lineRule="auto"/>
              <w:ind w:right="141"/>
              <w:rPr>
                <w:szCs w:val="24"/>
              </w:rPr>
            </w:pPr>
            <w:r w:rsidRPr="00267587">
              <w:rPr>
                <w:szCs w:val="24"/>
              </w:rPr>
              <w:t>Changes to the model for the HSDP increase costs/reduced income increasing in the Council’s borrowing requirement making it unaffordable</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C8336"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Professional partner (Wates) employed as Development Manager</w:t>
            </w:r>
          </w:p>
          <w:p w14:paraId="29727893"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Ability to adapt Business Plan to revise scheme and manage costs</w:t>
            </w:r>
          </w:p>
          <w:p w14:paraId="27885D98"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lastRenderedPageBreak/>
              <w:t>Governance structure will be in place to support changes and their implications</w:t>
            </w:r>
          </w:p>
        </w:tc>
        <w:tc>
          <w:tcPr>
            <w:tcW w:w="1552" w:type="dxa"/>
            <w:tcBorders>
              <w:top w:val="single" w:sz="4" w:space="0" w:color="000000"/>
              <w:left w:val="single" w:sz="4" w:space="0" w:color="000000"/>
              <w:bottom w:val="single" w:sz="4" w:space="0" w:color="000000"/>
              <w:right w:val="single" w:sz="4" w:space="0" w:color="000000"/>
            </w:tcBorders>
            <w:shd w:val="clear" w:color="auto" w:fill="FFC000"/>
          </w:tcPr>
          <w:p w14:paraId="357B60EB"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lastRenderedPageBreak/>
              <w:t>Amber</w:t>
            </w:r>
          </w:p>
        </w:tc>
      </w:tr>
      <w:tr w:rsidR="00277494" w14:paraId="7BD21904"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A6EFD" w14:textId="77777777" w:rsidR="00277494" w:rsidRPr="00267587" w:rsidRDefault="00277494" w:rsidP="00A02C3D">
            <w:pPr>
              <w:spacing w:line="244" w:lineRule="auto"/>
              <w:ind w:right="141"/>
              <w:rPr>
                <w:szCs w:val="24"/>
              </w:rPr>
            </w:pPr>
            <w:r w:rsidRPr="00267587">
              <w:rPr>
                <w:szCs w:val="24"/>
              </w:rPr>
              <w:t>Annual running costs of Forward Drive exceed the combined cost of running the Civic Centre and Depot of £1.6m</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0CD28"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New building</w:t>
            </w:r>
          </w:p>
          <w:p w14:paraId="7A7B4AEC"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Smaller and more modern building</w:t>
            </w:r>
          </w:p>
          <w:p w14:paraId="66F6464E"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 xml:space="preserve">Realistic approach to operating model </w:t>
            </w:r>
            <w:proofErr w:type="gramStart"/>
            <w:r w:rsidRPr="00267587">
              <w:rPr>
                <w:sz w:val="24"/>
                <w:szCs w:val="24"/>
              </w:rPr>
              <w:t>in light of</w:t>
            </w:r>
            <w:proofErr w:type="gramEnd"/>
            <w:r w:rsidRPr="00267587">
              <w:rPr>
                <w:sz w:val="24"/>
                <w:szCs w:val="24"/>
              </w:rPr>
              <w:t xml:space="preserve"> budget envelop</w:t>
            </w: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10F400DF"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t>Green</w:t>
            </w:r>
          </w:p>
        </w:tc>
      </w:tr>
      <w:tr w:rsidR="00277494" w14:paraId="5CC77E6A" w14:textId="77777777" w:rsidTr="002675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69C86" w14:textId="77777777" w:rsidR="00277494" w:rsidRPr="00267587" w:rsidRDefault="00277494" w:rsidP="00A02C3D">
            <w:pPr>
              <w:spacing w:line="244" w:lineRule="auto"/>
              <w:ind w:right="141"/>
              <w:rPr>
                <w:szCs w:val="24"/>
              </w:rPr>
            </w:pPr>
            <w:r w:rsidRPr="00267587">
              <w:rPr>
                <w:szCs w:val="24"/>
              </w:rPr>
              <w:t>Impact on MTFS is not cost neutral.</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F9413"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Robust management of the cash flows, both capital and revenue alongside existing provision in the Capital Programme</w:t>
            </w:r>
          </w:p>
          <w:p w14:paraId="75607D1B" w14:textId="32D04E0F"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 xml:space="preserve">Financial performance </w:t>
            </w:r>
            <w:r w:rsidR="00267587" w:rsidRPr="00267587">
              <w:rPr>
                <w:sz w:val="24"/>
                <w:szCs w:val="24"/>
              </w:rPr>
              <w:t>reporting to</w:t>
            </w:r>
            <w:r w:rsidRPr="00267587">
              <w:rPr>
                <w:sz w:val="24"/>
                <w:szCs w:val="24"/>
              </w:rPr>
              <w:t xml:space="preserve"> Cabinet quarterly as part of revenue budget update</w:t>
            </w:r>
          </w:p>
          <w:p w14:paraId="11AC7DB5" w14:textId="77777777" w:rsidR="00277494" w:rsidRPr="00267587" w:rsidRDefault="00277494" w:rsidP="00277494">
            <w:pPr>
              <w:pStyle w:val="ListParagraph"/>
              <w:numPr>
                <w:ilvl w:val="0"/>
                <w:numId w:val="1"/>
              </w:numPr>
              <w:suppressAutoHyphens/>
              <w:autoSpaceDN w:val="0"/>
              <w:spacing w:line="247" w:lineRule="auto"/>
              <w:ind w:left="171" w:right="141" w:hanging="171"/>
              <w:rPr>
                <w:sz w:val="24"/>
                <w:szCs w:val="24"/>
              </w:rPr>
            </w:pPr>
            <w:r w:rsidRPr="00267587">
              <w:rPr>
                <w:sz w:val="24"/>
                <w:szCs w:val="24"/>
              </w:rPr>
              <w:t>Robust Treasury Management</w:t>
            </w:r>
          </w:p>
        </w:tc>
        <w:tc>
          <w:tcPr>
            <w:tcW w:w="1552" w:type="dxa"/>
            <w:tcBorders>
              <w:top w:val="single" w:sz="4" w:space="0" w:color="000000"/>
              <w:left w:val="single" w:sz="4" w:space="0" w:color="000000"/>
              <w:bottom w:val="single" w:sz="4" w:space="0" w:color="000000"/>
              <w:right w:val="single" w:sz="4" w:space="0" w:color="000000"/>
            </w:tcBorders>
            <w:shd w:val="clear" w:color="auto" w:fill="FFC000"/>
          </w:tcPr>
          <w:p w14:paraId="215F36D6" w14:textId="77777777" w:rsidR="00277494" w:rsidRPr="00267587" w:rsidRDefault="00277494" w:rsidP="00267587">
            <w:pPr>
              <w:spacing w:line="244" w:lineRule="auto"/>
              <w:ind w:right="141"/>
              <w:rPr>
                <w:rFonts w:cs="Arial"/>
                <w:szCs w:val="24"/>
                <w:lang w:eastAsia="en-GB"/>
              </w:rPr>
            </w:pPr>
            <w:r w:rsidRPr="00267587">
              <w:rPr>
                <w:rFonts w:cs="Arial"/>
                <w:szCs w:val="24"/>
                <w:lang w:eastAsia="en-GB"/>
              </w:rPr>
              <w:t>Amber</w:t>
            </w:r>
          </w:p>
        </w:tc>
      </w:tr>
    </w:tbl>
    <w:p w14:paraId="48C3FDB0" w14:textId="77777777" w:rsidR="00BC4646" w:rsidRDefault="00BC4646"/>
    <w:sectPr w:rsidR="00BC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94"/>
    <w:rsid w:val="0006647B"/>
    <w:rsid w:val="0025639C"/>
    <w:rsid w:val="00267587"/>
    <w:rsid w:val="00277494"/>
    <w:rsid w:val="002D4ACE"/>
    <w:rsid w:val="003B739A"/>
    <w:rsid w:val="00422EF2"/>
    <w:rsid w:val="004B5B20"/>
    <w:rsid w:val="00744431"/>
    <w:rsid w:val="007B7C14"/>
    <w:rsid w:val="00A363C3"/>
    <w:rsid w:val="00BC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0120"/>
  <w15:chartTrackingRefBased/>
  <w15:docId w15:val="{C6E6753E-0060-4F39-9256-4562A0C4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494"/>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77494"/>
    <w:pPr>
      <w:spacing w:before="480"/>
      <w:outlineLvl w:val="1"/>
    </w:pPr>
    <w:rPr>
      <w:rFonts w:ascii="Arial Black" w:hAnsi="Arial Black" w:cs="Arial"/>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494"/>
    <w:rPr>
      <w:rFonts w:ascii="Arial Black" w:eastAsia="Times New Roman" w:hAnsi="Arial Black" w:cs="Arial"/>
      <w:bCs/>
      <w:sz w:val="32"/>
      <w:szCs w:val="32"/>
    </w:rPr>
  </w:style>
  <w:style w:type="paragraph" w:styleId="ListParagraph">
    <w:name w:val="List Paragraph"/>
    <w:basedOn w:val="Normal"/>
    <w:uiPriority w:val="34"/>
    <w:qFormat/>
    <w:rsid w:val="00277494"/>
    <w:pPr>
      <w:ind w:left="720"/>
    </w:pPr>
    <w:rPr>
      <w:rFonts w:eastAsia="Calibri" w:cs="Arial"/>
      <w:color w:val="000000"/>
      <w:sz w:val="22"/>
      <w:szCs w:val="22"/>
      <w:lang w:eastAsia="en-GB"/>
    </w:rPr>
  </w:style>
  <w:style w:type="character" w:styleId="CommentReference">
    <w:name w:val="annotation reference"/>
    <w:basedOn w:val="DefaultParagraphFont"/>
    <w:semiHidden/>
    <w:unhideWhenUsed/>
    <w:rsid w:val="00277494"/>
    <w:rPr>
      <w:sz w:val="16"/>
      <w:szCs w:val="16"/>
    </w:rPr>
  </w:style>
  <w:style w:type="paragraph" w:styleId="CommentText">
    <w:name w:val="annotation text"/>
    <w:basedOn w:val="Normal"/>
    <w:link w:val="CommentTextChar"/>
    <w:semiHidden/>
    <w:unhideWhenUsed/>
    <w:rsid w:val="00277494"/>
    <w:rPr>
      <w:sz w:val="20"/>
    </w:rPr>
  </w:style>
  <w:style w:type="character" w:customStyle="1" w:styleId="CommentTextChar">
    <w:name w:val="Comment Text Char"/>
    <w:basedOn w:val="DefaultParagraphFont"/>
    <w:link w:val="CommentText"/>
    <w:semiHidden/>
    <w:rsid w:val="0027749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77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4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Wain</dc:creator>
  <cp:keywords/>
  <dc:description/>
  <cp:lastModifiedBy>Nikoleta Nikolova</cp:lastModifiedBy>
  <cp:revision>3</cp:revision>
  <dcterms:created xsi:type="dcterms:W3CDTF">2021-05-26T13:59:00Z</dcterms:created>
  <dcterms:modified xsi:type="dcterms:W3CDTF">2021-05-26T14:01:00Z</dcterms:modified>
</cp:coreProperties>
</file>